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7353" w14:textId="77777777" w:rsidR="00727FF5" w:rsidRPr="00727FF5" w:rsidRDefault="00052381" w:rsidP="00727FF5">
      <w:pPr>
        <w:tabs>
          <w:tab w:val="left" w:pos="3030"/>
        </w:tabs>
        <w:spacing w:after="0"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bookmarkStart w:id="0" w:name="_GoBack"/>
      <w:bookmarkEnd w:id="0"/>
      <w:r w:rsidRPr="00727FF5">
        <w:rPr>
          <w:rFonts w:ascii="Times New Roman" w:eastAsia="Garamond" w:hAnsi="Times New Roman" w:cs="Times New Roman"/>
          <w:b/>
          <w:sz w:val="24"/>
          <w:szCs w:val="24"/>
        </w:rPr>
        <w:t>CONTRATO TIPO</w:t>
      </w:r>
    </w:p>
    <w:p w14:paraId="1CB91424" w14:textId="77777777" w:rsidR="00727FF5" w:rsidRPr="00727FF5" w:rsidRDefault="00052381" w:rsidP="00727FF5">
      <w:pPr>
        <w:tabs>
          <w:tab w:val="left" w:pos="3030"/>
        </w:tabs>
        <w:spacing w:after="0"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727FF5">
        <w:rPr>
          <w:rFonts w:ascii="Times New Roman" w:eastAsia="Garamond" w:hAnsi="Times New Roman" w:cs="Times New Roman"/>
          <w:b/>
          <w:sz w:val="24"/>
          <w:szCs w:val="24"/>
        </w:rPr>
        <w:t xml:space="preserve">PLAN </w:t>
      </w:r>
      <w:r>
        <w:rPr>
          <w:rFonts w:ascii="Times New Roman" w:eastAsia="Garamond" w:hAnsi="Times New Roman" w:cs="Times New Roman"/>
          <w:b/>
          <w:sz w:val="24"/>
          <w:szCs w:val="24"/>
        </w:rPr>
        <w:t>CORPORATIVO</w:t>
      </w:r>
    </w:p>
    <w:p w14:paraId="03466C85" w14:textId="77777777" w:rsidR="00727FF5" w:rsidRPr="00727FF5" w:rsidRDefault="00491AA0" w:rsidP="00727FF5">
      <w:pPr>
        <w:tabs>
          <w:tab w:val="left" w:pos="3030"/>
        </w:tabs>
        <w:spacing w:after="0"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</w:p>
    <w:p w14:paraId="3FBDC9B6" w14:textId="77777777" w:rsidR="00727FF5" w:rsidRPr="00727FF5" w:rsidRDefault="00052381" w:rsidP="00727FF5">
      <w:pPr>
        <w:tabs>
          <w:tab w:val="left" w:pos="3030"/>
        </w:tabs>
        <w:spacing w:after="0"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727FF5">
        <w:rPr>
          <w:rFonts w:ascii="Times New Roman" w:eastAsia="Garamond" w:hAnsi="Times New Roman" w:cs="Times New Roman"/>
          <w:b/>
          <w:sz w:val="24"/>
          <w:szCs w:val="24"/>
        </w:rPr>
        <w:t>CONTRATO DE PRESTACIÓN DE SERVICIOS DE</w:t>
      </w:r>
    </w:p>
    <w:p w14:paraId="6EF02914" w14:textId="77777777" w:rsidR="00727FF5" w:rsidRPr="00727FF5" w:rsidRDefault="00052381" w:rsidP="00727FF5">
      <w:pPr>
        <w:tabs>
          <w:tab w:val="left" w:pos="3030"/>
        </w:tabs>
        <w:spacing w:after="0"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727FF5">
        <w:rPr>
          <w:rFonts w:ascii="Times New Roman" w:eastAsia="Garamond" w:hAnsi="Times New Roman" w:cs="Times New Roman"/>
          <w:b/>
          <w:sz w:val="24"/>
          <w:szCs w:val="24"/>
        </w:rPr>
        <w:t>ATENCIÓN INTEGRAL DE SALUD PREPAGADA</w:t>
      </w:r>
    </w:p>
    <w:p w14:paraId="0E64CC92" w14:textId="77777777" w:rsidR="00727FF5" w:rsidRPr="00727FF5" w:rsidRDefault="00491AA0" w:rsidP="00727FF5">
      <w:pPr>
        <w:tabs>
          <w:tab w:val="left" w:pos="3030"/>
        </w:tabs>
        <w:spacing w:after="0"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</w:p>
    <w:p w14:paraId="4C08AA85" w14:textId="77777777" w:rsidR="00727FF5" w:rsidRPr="00727FF5" w:rsidRDefault="00052381" w:rsidP="00727FF5">
      <w:pPr>
        <w:tabs>
          <w:tab w:val="left" w:pos="303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FF5">
        <w:rPr>
          <w:rFonts w:ascii="Times New Roman" w:eastAsia="Garamond" w:hAnsi="Times New Roman" w:cs="Times New Roman"/>
          <w:b/>
          <w:sz w:val="24"/>
          <w:szCs w:val="24"/>
        </w:rPr>
        <w:t>SALUDSA SISTEMA DE MEDICINA PREPAGADA DEL ECUADOR S.A.</w:t>
      </w:r>
    </w:p>
    <w:p w14:paraId="038293FA" w14:textId="77777777" w:rsidR="00727FF5" w:rsidRPr="00727FF5" w:rsidRDefault="00491AA0" w:rsidP="00727FF5">
      <w:pPr>
        <w:spacing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</w:p>
    <w:p w14:paraId="52E98E3D" w14:textId="77777777" w:rsidR="00763F51" w:rsidRDefault="00187DCA" w:rsidP="00727FF5">
      <w:pPr>
        <w:spacing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>
        <w:rPr>
          <w:rFonts w:ascii="Times New Roman" w:eastAsia="Garamond" w:hAnsi="Times New Roman" w:cs="Times New Roman"/>
          <w:b/>
          <w:sz w:val="24"/>
          <w:szCs w:val="24"/>
        </w:rPr>
        <w:t>ANEXO No. 5</w:t>
      </w:r>
      <w:r w:rsidR="00052381" w:rsidRPr="00727FF5">
        <w:rPr>
          <w:rFonts w:ascii="Times New Roman" w:eastAsia="Garamond" w:hAnsi="Times New Roman" w:cs="Times New Roman"/>
          <w:b/>
          <w:sz w:val="24"/>
          <w:szCs w:val="24"/>
        </w:rPr>
        <w:t xml:space="preserve"> </w:t>
      </w:r>
    </w:p>
    <w:p w14:paraId="43738143" w14:textId="65028EE7" w:rsidR="00727FF5" w:rsidRPr="00727FF5" w:rsidRDefault="00052381" w:rsidP="00727FF5">
      <w:pPr>
        <w:spacing w:line="276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727FF5">
        <w:rPr>
          <w:rFonts w:ascii="Times New Roman" w:eastAsia="Garamond" w:hAnsi="Times New Roman" w:cs="Times New Roman"/>
          <w:b/>
          <w:sz w:val="24"/>
          <w:szCs w:val="24"/>
        </w:rPr>
        <w:t>EXCLUSIONES</w:t>
      </w:r>
    </w:p>
    <w:p w14:paraId="4132BDF5" w14:textId="43782D74" w:rsidR="00727FF5" w:rsidRPr="00727FF5" w:rsidRDefault="00052381" w:rsidP="00727F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F5">
        <w:rPr>
          <w:rFonts w:ascii="Times New Roman" w:hAnsi="Times New Roman" w:cs="Times New Roman"/>
          <w:sz w:val="24"/>
          <w:szCs w:val="24"/>
        </w:rPr>
        <w:t xml:space="preserve">El Usuario conoce y acepta que, el presente Contrato no incluirá </w:t>
      </w:r>
      <w:r w:rsidR="003A6D92">
        <w:rPr>
          <w:rFonts w:ascii="Times New Roman" w:hAnsi="Times New Roman" w:cs="Times New Roman"/>
          <w:sz w:val="24"/>
          <w:szCs w:val="24"/>
        </w:rPr>
        <w:t>el F</w:t>
      </w:r>
      <w:r w:rsidRPr="00727FF5">
        <w:rPr>
          <w:rFonts w:ascii="Times New Roman" w:hAnsi="Times New Roman" w:cs="Times New Roman"/>
          <w:sz w:val="24"/>
          <w:szCs w:val="24"/>
        </w:rPr>
        <w:t>inanciamient</w:t>
      </w:r>
      <w:r w:rsidR="003A6D92">
        <w:rPr>
          <w:rFonts w:ascii="Times New Roman" w:hAnsi="Times New Roman" w:cs="Times New Roman"/>
          <w:sz w:val="24"/>
          <w:szCs w:val="24"/>
        </w:rPr>
        <w:t>o por parte de SALUDSA, de las Prestaciones S</w:t>
      </w:r>
      <w:r w:rsidR="00E26EF5">
        <w:rPr>
          <w:rFonts w:ascii="Times New Roman" w:hAnsi="Times New Roman" w:cs="Times New Roman"/>
          <w:sz w:val="24"/>
          <w:szCs w:val="24"/>
        </w:rPr>
        <w:t>anitarias contenidas en este A</w:t>
      </w:r>
      <w:r w:rsidRPr="00727FF5">
        <w:rPr>
          <w:rFonts w:ascii="Times New Roman" w:hAnsi="Times New Roman" w:cs="Times New Roman"/>
          <w:sz w:val="24"/>
          <w:szCs w:val="24"/>
        </w:rPr>
        <w:t>nexo, por lo tanto, SALUDSA no tendrá</w:t>
      </w:r>
      <w:r w:rsidR="003A6D92">
        <w:rPr>
          <w:rFonts w:ascii="Times New Roman" w:hAnsi="Times New Roman" w:cs="Times New Roman"/>
          <w:sz w:val="24"/>
          <w:szCs w:val="24"/>
        </w:rPr>
        <w:t xml:space="preserve"> ninguna obligación de otorgar F</w:t>
      </w:r>
      <w:r w:rsidRPr="00727FF5">
        <w:rPr>
          <w:rFonts w:ascii="Times New Roman" w:hAnsi="Times New Roman" w:cs="Times New Roman"/>
          <w:sz w:val="24"/>
          <w:szCs w:val="24"/>
        </w:rPr>
        <w:t>inanciamiento entendiéndose por este cubrir o restituir costos y gastos de esos servicios cuando sean producto de o a consecuencia de lo que se detalla a continuación:</w:t>
      </w:r>
    </w:p>
    <w:p w14:paraId="52AE38F1" w14:textId="331F14C5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Cualquier enfermedad, patología o condición de salud, que haya sido co</w:t>
      </w:r>
      <w:r w:rsidR="00E26EF5">
        <w:rPr>
          <w:rFonts w:ascii="Times New Roman" w:hAnsi="Times New Roman" w:cs="Times New Roman"/>
          <w:sz w:val="24"/>
          <w:szCs w:val="24"/>
        </w:rPr>
        <w:t>nocida por el contratante o el B</w:t>
      </w:r>
      <w:r w:rsidRPr="00C855C9">
        <w:rPr>
          <w:rFonts w:ascii="Times New Roman" w:hAnsi="Times New Roman" w:cs="Times New Roman"/>
          <w:sz w:val="24"/>
          <w:szCs w:val="24"/>
        </w:rPr>
        <w:t>eneficiario y diagnosticada médicamente con anterioridad a la suscripción del</w:t>
      </w:r>
      <w:r w:rsidR="00E26EF5">
        <w:rPr>
          <w:rFonts w:ascii="Times New Roman" w:hAnsi="Times New Roman" w:cs="Times New Roman"/>
          <w:sz w:val="24"/>
          <w:szCs w:val="24"/>
        </w:rPr>
        <w:t xml:space="preserve"> contrato o a la inclusión del B</w:t>
      </w:r>
      <w:r w:rsidRPr="00C855C9">
        <w:rPr>
          <w:rFonts w:ascii="Times New Roman" w:hAnsi="Times New Roman" w:cs="Times New Roman"/>
          <w:sz w:val="24"/>
          <w:szCs w:val="24"/>
        </w:rPr>
        <w:t xml:space="preserve">eneficiario, y que no hayan sido declaradas en la suscripción del presente </w:t>
      </w:r>
      <w:r w:rsidR="00E26EF5">
        <w:rPr>
          <w:rFonts w:ascii="Times New Roman" w:hAnsi="Times New Roman" w:cs="Times New Roman"/>
          <w:sz w:val="24"/>
          <w:szCs w:val="24"/>
        </w:rPr>
        <w:t>contrato o en la inclusión del B</w:t>
      </w:r>
      <w:r w:rsidRPr="00C855C9">
        <w:rPr>
          <w:rFonts w:ascii="Times New Roman" w:hAnsi="Times New Roman" w:cs="Times New Roman"/>
          <w:sz w:val="24"/>
          <w:szCs w:val="24"/>
        </w:rPr>
        <w:t>eneficiario dentro del documento de "Declaración de preexistencias". Así como, las complicaciones y secuelas posteriores que se deriven de éstas.</w:t>
      </w:r>
    </w:p>
    <w:p w14:paraId="00CB66B2" w14:textId="72DE1641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Lesiones o afecciones causadas u originadas directa o indirectamente por terremotos, inundación, explosiones nucleares o radioactivas, energía atómica, y en general por desastres naturales o cualquier evento de la naturaleza, de similar de carácter catastrófico o extraordinario. Así como, guerra (declarada o no declarada), terrorismo, conmoción social, revolución, o secuelas por agresión externa en conmoción social y participación activa en huelgas y motines, sean estas ocurridas en el país o en el exterior.</w:t>
      </w:r>
    </w:p>
    <w:p w14:paraId="162F78C8" w14:textId="7029FD92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Terapias de reposo, períodos de cuarentena, aislamiento, epidemias o pandemias declaradas oficialmente, cercos epidemiológicos, trastorno de la conducta alimentaria y del sueño, así como terapias de internación prolongada por trastornos psicológicos, psiquiátricos y por desintoxicación producto abuso de sustancias (drogas, psicotrópicos, estuperfacientes, quimico) o de intentos autolíticos.</w:t>
      </w:r>
    </w:p>
    <w:p w14:paraId="36395A63" w14:textId="22E9EF88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Exámenes auxiliares diagnósticos, exámenes anatomopatológicos y tratamientos no inherentes a, o no necesarios para el diagnóstico de una enfermedad o lesión corporal, así como chequeos médicos, exámenes generales de salud distintos de los chequeos, controles y evaluación, establecida dentro de las prestaciones de tarifa cero según edad y género y vacunas. Realización de pruebas diagnósticas y estudios polisomnográficos.</w:t>
      </w:r>
    </w:p>
    <w:p w14:paraId="514D631D" w14:textId="3D0C444E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Tratamientos de medicina natural, homeopática, ancestral, tradicional, experimental, colorimetría, moxibustión, así como aquellos brindados por especialidades médicas y otros tipos de tratamientos no reconocidos por la Autoridad Sanitaria Nacional.</w:t>
      </w:r>
    </w:p>
    <w:p w14:paraId="20E03B49" w14:textId="783E5B91" w:rsidR="00727FF5" w:rsidRPr="00C855C9" w:rsidRDefault="003A6D92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Prestaciones S</w:t>
      </w:r>
      <w:r w:rsidR="00052381" w:rsidRPr="00C855C9">
        <w:rPr>
          <w:rFonts w:ascii="Times New Roman" w:hAnsi="Times New Roman" w:cs="Times New Roman"/>
          <w:sz w:val="24"/>
          <w:szCs w:val="24"/>
        </w:rPr>
        <w:t>anitarias brindadas por prestadores que no correspondan al nivel de atención y complejidad autorizado por la Autoridad Sanitaria Nacional, así como las prestaciones brindadas en aquellos centros que no cuenten con los permisos de funcionamiento y habilitaciones respectivas.</w:t>
      </w:r>
    </w:p>
    <w:p w14:paraId="554F1AA3" w14:textId="766DB12E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Servicio de ambulancia sea terrestre, aéreo o fluvial que no sean prestados por servicios de transporte y asistencia sanitaria debida y legalmente autorizados como tales por la autoridad competente</w:t>
      </w:r>
    </w:p>
    <w:p w14:paraId="56BDC51E" w14:textId="6E4996C4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Diagnóstico y/o tratamiento farmacológico y no farmacológico por: lesiones e incapacidades, relacionadas u originados por disfunciones sexuales, enfermedades mentales, psiquiátricas, nerviosas, estrés, trastorno de la actividad y de la atención, deficiencia del desarrollo psicomotor, terapias ocupacionales.</w:t>
      </w:r>
    </w:p>
    <w:p w14:paraId="493FEAF0" w14:textId="43016E51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Enfermedades, urgencias o accidentes causados y/o provenientes del uso o consumo de estupefacientes o psicotrópicos, tales como: alucinógenos y los estimulantes; así como, de otras sustancias cuyo consumo reiterado puede crear dependencia. Tratamientos ambulatorio u hospitalario de rehabilitación por alcoholismo y/o uso, consumo y abuso de sustancias estupefacientes o psicotrópicas, así como sus consecuencias y complicaciones.</w:t>
      </w:r>
    </w:p>
    <w:p w14:paraId="3424C744" w14:textId="5FEDACC3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Emergencias, urgencias y/o accidentes causados como producto de la participación directa en actos calificados como faltas a la ley, contravenciones y/o delitos.</w:t>
      </w:r>
    </w:p>
    <w:p w14:paraId="01FD3986" w14:textId="2002766C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Tratamientos por infertilidad, de reproducción humana asistida, inseminación artificial, fertilización o para recuperar la fertilidad, así como procedimientos de esterilización, métodos temporales o definitivos de planificación familiar. Contratación de servicios de almacenamiento de cordón umbilical, su sangre y/o componentes.</w:t>
      </w:r>
    </w:p>
    <w:p w14:paraId="6A947789" w14:textId="2B54DF38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 xml:space="preserve">Cualquier tipo de trasplante de órganos, tejidos y células de carácter experimental que no haya sido aprobado por la autoridad competente, incluyendo gastos del donante y receptor. Gastos derivados del mantenimiento del donante cadavérico. Gastos por movilización de equipos médicos, órganos y células. Pruebas de compatibilidad. Se excluye </w:t>
      </w:r>
      <w:r w:rsidR="003A6D92">
        <w:rPr>
          <w:rFonts w:ascii="Times New Roman" w:hAnsi="Times New Roman" w:cs="Times New Roman"/>
          <w:sz w:val="24"/>
          <w:szCs w:val="24"/>
        </w:rPr>
        <w:t>el F</w:t>
      </w:r>
      <w:r w:rsidR="007B4F9E">
        <w:rPr>
          <w:rFonts w:ascii="Times New Roman" w:hAnsi="Times New Roman" w:cs="Times New Roman"/>
          <w:sz w:val="24"/>
          <w:szCs w:val="24"/>
        </w:rPr>
        <w:t>inanciamiento</w:t>
      </w:r>
      <w:r w:rsidRPr="00C855C9">
        <w:rPr>
          <w:rFonts w:ascii="Times New Roman" w:hAnsi="Times New Roman" w:cs="Times New Roman"/>
          <w:sz w:val="24"/>
          <w:szCs w:val="24"/>
        </w:rPr>
        <w:t xml:space="preserve"> de cordones hematopoyéticos o células de donante hetetrologo no emparentado en el extranjero o banco de cordones internacional.</w:t>
      </w:r>
    </w:p>
    <w:p w14:paraId="5CBAA2E7" w14:textId="7ABA3D99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Daños causados a sí mismo (autoagresión) estando o no en uso de sus facultades mentales.</w:t>
      </w:r>
    </w:p>
    <w:p w14:paraId="7F086A7B" w14:textId="509BF5A6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Suministros de anteojos, lentes de contacto y tratamientos quirúrgicos o láser para corregir astigmatismo, miopía e hipermetropía.</w:t>
      </w:r>
    </w:p>
    <w:p w14:paraId="00E9E67A" w14:textId="2FD2F3B3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Audífonos, muletas, aparatos ortopédicos, prótesis de titanio, órtesis, fajas, corsés, ni adaptaciones de cualquiera de ellos. Equipos médicos para uso domiciliario, sillas de rueda, andadores.</w:t>
      </w:r>
    </w:p>
    <w:p w14:paraId="283B781D" w14:textId="7430207D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Cirugía plástica, exceptuando cirugía reconstructiva para lesiones por accidente ocurrido durante la vigencia del contrato, y cirugía reconstructiva como parte de la atención oncológica.</w:t>
      </w:r>
    </w:p>
    <w:p w14:paraId="0C7BC74F" w14:textId="5A737039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Tratamientos cosméticos y estéticos, cremas cosméticas, protectores solares relacionados o no a tratamientos cosméticos, dispositivos desechables y fungibles para uso domiciliario, artículos de aseo personal de uso ambulatorio y/u hospitalario,</w:t>
      </w:r>
    </w:p>
    <w:p w14:paraId="0399C75B" w14:textId="066D12CA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Consultas, exámenes, tratamientos ambulatorios u hospitalizaciones, relacionados con desnutrición, bajo peso, sobrepeso, obesidad, trastornos alimenticios. Cirugía metabólica y/o para tratamiento de la obesidad, liposucción y dermolipectomía. Programación y suministro de dietas preparadas y refrigerios, complementos y/o suplementos alimenticios, reconstituyentes, suplementos vitamínicos y nutricionales</w:t>
      </w:r>
    </w:p>
    <w:p w14:paraId="3D8198E1" w14:textId="5A71F032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Gastos de hospedaje y alimentación de acompañantes, teléfono, artículos de aseo personal en clínicas y hospitales, estancia materna por acompañamiento en la hospitalización de un neonato.</w:t>
      </w:r>
    </w:p>
    <w:p w14:paraId="2FD2D561" w14:textId="0FD86A7F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Tratamiento farmacológico y no farmacológico y sus complicaciones para hipoestrogenismos secundarios, climaterio, menopausia.</w:t>
      </w:r>
    </w:p>
    <w:p w14:paraId="4650C01B" w14:textId="746882DB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Productos farmacéuticos o medicamentos de venta libre que no requieren prescripción, suplementos vitamínicos, leches maternizadas, moduladores del sistema inmunológicos, medicinas y hormonas naturales y medicamentos sin registro sanitario nacional o prescritos por un profesional que no esté autorizado.</w:t>
      </w:r>
    </w:p>
    <w:p w14:paraId="22E6ABCB" w14:textId="5943EFC2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Suministro de cualquier gas medicinal para uso domiciliario</w:t>
      </w:r>
    </w:p>
    <w:p w14:paraId="06595860" w14:textId="790D59C2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La compra, alquiler y/o adaptación de cualquier equipo o aparato médico para la medición, monitoreo, infusión de medicamentos, soporte de funciones vitales para uso domiciliario, así como los insumos y suministros necesarios para la utilización y funcionamiento.</w:t>
      </w:r>
    </w:p>
    <w:p w14:paraId="2CA0153F" w14:textId="2A0550DF" w:rsidR="00727FF5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Atención odontológica: consultas odontológicas, evaluación de salud dentales, extracciones, prótesis e implantes dentales, ortopedia y ortodoncia dental; empastes y tratamiento dental en general; así como afecciones dentales, alveolares o gingivales y sus complicaciones. Ortopedia dental, ortodoncia y cirugía maxilofacial. Radiología odontológica.</w:t>
      </w:r>
    </w:p>
    <w:p w14:paraId="145BD879" w14:textId="755BB0C1" w:rsidR="00727FF5" w:rsidRPr="00C855C9" w:rsidRDefault="003A6D92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Prestaciones S</w:t>
      </w:r>
      <w:r w:rsidR="00052381" w:rsidRPr="00C855C9">
        <w:rPr>
          <w:rFonts w:ascii="Times New Roman" w:hAnsi="Times New Roman" w:cs="Times New Roman"/>
          <w:sz w:val="24"/>
          <w:szCs w:val="24"/>
        </w:rPr>
        <w:t>anitarias ambulatorias no recogidas expresamente en el Contrato o el Anexo Detalle de Financiamiento.</w:t>
      </w:r>
    </w:p>
    <w:p w14:paraId="228C517B" w14:textId="30766C86" w:rsidR="00D70966" w:rsidRPr="00C855C9" w:rsidRDefault="00052381" w:rsidP="00C855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5C9">
        <w:rPr>
          <w:rFonts w:ascii="Times New Roman" w:hAnsi="Times New Roman" w:cs="Times New Roman"/>
          <w:sz w:val="24"/>
          <w:szCs w:val="24"/>
        </w:rPr>
        <w:t>Atenciones médicas prestadas por personas naturales o jurídicas no acreditadas, calificadas y/o habilitadas por la autoridad competente para brindar dichas atenciones. Incluye personal complementario tales como, pero no limitados a: asesores, coaches, doulas, comadronas, parteras, shamanes, curanderos, fregadores, sobadores entre otros.</w:t>
      </w:r>
    </w:p>
    <w:sectPr w:rsidR="00D70966" w:rsidRPr="00C855C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88342" w14:textId="77777777" w:rsidR="00491AA0" w:rsidRDefault="00491AA0" w:rsidP="00D35F72">
      <w:pPr>
        <w:spacing w:after="0" w:line="240" w:lineRule="auto"/>
      </w:pPr>
      <w:r>
        <w:separator/>
      </w:r>
    </w:p>
  </w:endnote>
  <w:endnote w:type="continuationSeparator" w:id="0">
    <w:p w14:paraId="5A5902A8" w14:textId="77777777" w:rsidR="00491AA0" w:rsidRDefault="00491AA0" w:rsidP="00D3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ria Grotesk">
    <w:altName w:val="MS Gothic"/>
    <w:charset w:val="00"/>
    <w:family w:val="auto"/>
    <w:pitch w:val="variable"/>
    <w:sig w:usb0="00000001" w:usb1="02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2F7D7" w14:textId="4CC23DDF" w:rsidR="00D35F72" w:rsidRDefault="00C70DBA">
    <w:pPr>
      <w:pStyle w:val="Piedepgina"/>
    </w:pPr>
    <w:r>
      <w:rPr>
        <w:rFonts w:ascii="Adria Grotesk" w:hAnsi="Adria Grotesk"/>
        <w:noProof/>
        <w:lang w:eastAsia="es-EC"/>
      </w:rPr>
      <w:drawing>
        <wp:anchor distT="0" distB="0" distL="114300" distR="114300" simplePos="0" relativeHeight="251661312" behindDoc="0" locked="0" layoutInCell="1" allowOverlap="1" wp14:anchorId="52CC854D" wp14:editId="20C9C529">
          <wp:simplePos x="0" y="0"/>
          <wp:positionH relativeFrom="column">
            <wp:posOffset>266700</wp:posOffset>
          </wp:positionH>
          <wp:positionV relativeFrom="paragraph">
            <wp:posOffset>-342900</wp:posOffset>
          </wp:positionV>
          <wp:extent cx="4775558" cy="791570"/>
          <wp:effectExtent l="0" t="0" r="6350" b="8890"/>
          <wp:wrapNone/>
          <wp:docPr id="7" name="Imagen 7" descr="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2" t="27437" r="26625" b="13596"/>
                  <a:stretch/>
                </pic:blipFill>
                <pic:spPr bwMode="auto">
                  <a:xfrm>
                    <a:off x="0" y="0"/>
                    <a:ext cx="4775558" cy="791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85EAB" w14:textId="77777777" w:rsidR="00491AA0" w:rsidRDefault="00491AA0" w:rsidP="00D35F72">
      <w:pPr>
        <w:spacing w:after="0" w:line="240" w:lineRule="auto"/>
      </w:pPr>
      <w:r>
        <w:separator/>
      </w:r>
    </w:p>
  </w:footnote>
  <w:footnote w:type="continuationSeparator" w:id="0">
    <w:p w14:paraId="63604BA5" w14:textId="77777777" w:rsidR="00491AA0" w:rsidRDefault="00491AA0" w:rsidP="00D3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8FF5C" w14:textId="552DF7A2" w:rsidR="00D35F72" w:rsidRDefault="00C70DBA">
    <w:pPr>
      <w:pStyle w:val="Encabezado"/>
    </w:pPr>
    <w:r>
      <w:rPr>
        <w:rFonts w:ascii="Adria Grotesk" w:hAnsi="Adria Grotesk"/>
        <w:noProof/>
        <w:lang w:eastAsia="es-EC"/>
      </w:rPr>
      <w:drawing>
        <wp:anchor distT="0" distB="0" distL="114300" distR="114300" simplePos="0" relativeHeight="251659264" behindDoc="0" locked="0" layoutInCell="1" allowOverlap="1" wp14:anchorId="5F81DDC9" wp14:editId="2F35085C">
          <wp:simplePos x="0" y="0"/>
          <wp:positionH relativeFrom="column">
            <wp:posOffset>-975360</wp:posOffset>
          </wp:positionH>
          <wp:positionV relativeFrom="paragraph">
            <wp:posOffset>-363855</wp:posOffset>
          </wp:positionV>
          <wp:extent cx="1657350" cy="880467"/>
          <wp:effectExtent l="0" t="0" r="0" b="0"/>
          <wp:wrapNone/>
          <wp:docPr id="3" name="Imagen 3" descr="Cap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89" cy="883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6E3"/>
    <w:multiLevelType w:val="hybridMultilevel"/>
    <w:tmpl w:val="0FD479BC"/>
    <w:lvl w:ilvl="0" w:tplc="7F8A7300">
      <w:start w:val="1"/>
      <w:numFmt w:val="decimal"/>
      <w:lvlText w:val="%1."/>
      <w:lvlJc w:val="left"/>
      <w:pPr>
        <w:ind w:left="720" w:hanging="360"/>
      </w:pPr>
    </w:lvl>
    <w:lvl w:ilvl="1" w:tplc="421EE33A">
      <w:start w:val="1"/>
      <w:numFmt w:val="decimal"/>
      <w:lvlText w:val="%2."/>
      <w:lvlJc w:val="left"/>
      <w:pPr>
        <w:ind w:left="1440" w:hanging="1080"/>
      </w:pPr>
    </w:lvl>
    <w:lvl w:ilvl="2" w:tplc="DA78C680">
      <w:start w:val="1"/>
      <w:numFmt w:val="decimal"/>
      <w:lvlText w:val="%3."/>
      <w:lvlJc w:val="left"/>
      <w:pPr>
        <w:ind w:left="2160" w:hanging="1980"/>
      </w:pPr>
    </w:lvl>
    <w:lvl w:ilvl="3" w:tplc="AD181458">
      <w:start w:val="1"/>
      <w:numFmt w:val="decimal"/>
      <w:lvlText w:val="%4."/>
      <w:lvlJc w:val="left"/>
      <w:pPr>
        <w:ind w:left="2880" w:hanging="2520"/>
      </w:pPr>
    </w:lvl>
    <w:lvl w:ilvl="4" w:tplc="F44E11FC">
      <w:start w:val="1"/>
      <w:numFmt w:val="decimal"/>
      <w:lvlText w:val="%5."/>
      <w:lvlJc w:val="left"/>
      <w:pPr>
        <w:ind w:left="3600" w:hanging="3240"/>
      </w:pPr>
    </w:lvl>
    <w:lvl w:ilvl="5" w:tplc="6C28DC72">
      <w:start w:val="1"/>
      <w:numFmt w:val="decimal"/>
      <w:lvlText w:val="%6."/>
      <w:lvlJc w:val="left"/>
      <w:pPr>
        <w:ind w:left="4320" w:hanging="4140"/>
      </w:pPr>
    </w:lvl>
    <w:lvl w:ilvl="6" w:tplc="AB22D8F8">
      <w:start w:val="1"/>
      <w:numFmt w:val="decimal"/>
      <w:lvlText w:val="%7."/>
      <w:lvlJc w:val="left"/>
      <w:pPr>
        <w:ind w:left="5040" w:hanging="4680"/>
      </w:pPr>
    </w:lvl>
    <w:lvl w:ilvl="7" w:tplc="46A6BC72">
      <w:start w:val="1"/>
      <w:numFmt w:val="decimal"/>
      <w:lvlText w:val="%8."/>
      <w:lvlJc w:val="left"/>
      <w:pPr>
        <w:ind w:left="5760" w:hanging="5400"/>
      </w:pPr>
    </w:lvl>
    <w:lvl w:ilvl="8" w:tplc="12ACC24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2FF39DE"/>
    <w:multiLevelType w:val="hybridMultilevel"/>
    <w:tmpl w:val="59AA3CF8"/>
    <w:lvl w:ilvl="0" w:tplc="780CE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D1835"/>
    <w:multiLevelType w:val="hybridMultilevel"/>
    <w:tmpl w:val="B5589F58"/>
    <w:lvl w:ilvl="0" w:tplc="747C131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9AB21B3C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1A8E0AC4">
      <w:numFmt w:val="bullet"/>
      <w:lvlText w:val=""/>
      <w:lvlJc w:val="left"/>
      <w:pPr>
        <w:ind w:left="2160" w:hanging="1800"/>
      </w:pPr>
    </w:lvl>
    <w:lvl w:ilvl="3" w:tplc="3C48020C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C1BCE08C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146C5F4">
      <w:numFmt w:val="bullet"/>
      <w:lvlText w:val=""/>
      <w:lvlJc w:val="left"/>
      <w:pPr>
        <w:ind w:left="4320" w:hanging="3960"/>
      </w:pPr>
    </w:lvl>
    <w:lvl w:ilvl="6" w:tplc="A7A28938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A43AF1FC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FBCED6E2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60E15BC0"/>
    <w:multiLevelType w:val="hybridMultilevel"/>
    <w:tmpl w:val="52B8D50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9E"/>
    <w:rsid w:val="00052381"/>
    <w:rsid w:val="00187DCA"/>
    <w:rsid w:val="003A6D92"/>
    <w:rsid w:val="00491AA0"/>
    <w:rsid w:val="005C506F"/>
    <w:rsid w:val="00763F51"/>
    <w:rsid w:val="007B4F9E"/>
    <w:rsid w:val="00B453A1"/>
    <w:rsid w:val="00C70DBA"/>
    <w:rsid w:val="00D45431"/>
    <w:rsid w:val="00E26EF5"/>
    <w:rsid w:val="00E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F61CB"/>
  <w15:chartTrackingRefBased/>
  <w15:docId w15:val="{95E2C5F6-E3BA-40E8-AF52-6C3E01FD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55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5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F72"/>
  </w:style>
  <w:style w:type="paragraph" w:styleId="Piedepgina">
    <w:name w:val="footer"/>
    <w:basedOn w:val="Normal"/>
    <w:link w:val="PiedepginaCar"/>
    <w:uiPriority w:val="99"/>
    <w:unhideWhenUsed/>
    <w:rsid w:val="00D35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F72"/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ARMAS</dc:creator>
  <cp:keywords/>
  <dc:description/>
  <cp:lastModifiedBy>Johanna Cadena </cp:lastModifiedBy>
  <cp:revision>2</cp:revision>
  <dcterms:created xsi:type="dcterms:W3CDTF">2023-04-24T03:08:00Z</dcterms:created>
  <dcterms:modified xsi:type="dcterms:W3CDTF">2023-04-24T03:08:00Z</dcterms:modified>
</cp:coreProperties>
</file>